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C12" w:rsidRPr="00895EBA" w:rsidRDefault="00FA7C12" w:rsidP="00895EBA">
      <w:pPr>
        <w:spacing w:after="0" w:line="480" w:lineRule="auto"/>
        <w:jc w:val="both"/>
        <w:rPr>
          <w:rFonts w:ascii="Times New Roman" w:hAnsi="Times New Roman" w:cs="Times New Roman"/>
          <w:sz w:val="24"/>
          <w:szCs w:val="24"/>
        </w:rPr>
      </w:pPr>
      <w:r w:rsidRPr="00895EBA">
        <w:rPr>
          <w:rFonts w:ascii="Times New Roman" w:hAnsi="Times New Roman" w:cs="Times New Roman"/>
          <w:sz w:val="24"/>
          <w:szCs w:val="24"/>
        </w:rPr>
        <w:t>Senator Michael J. Rodrigues, Chair</w:t>
      </w:r>
    </w:p>
    <w:p w:rsidR="00B67F85" w:rsidRPr="00895EBA" w:rsidRDefault="00FA7C12" w:rsidP="00895EBA">
      <w:pPr>
        <w:spacing w:after="0" w:line="480" w:lineRule="auto"/>
        <w:jc w:val="both"/>
        <w:rPr>
          <w:rFonts w:ascii="Times New Roman" w:hAnsi="Times New Roman" w:cs="Times New Roman"/>
          <w:sz w:val="24"/>
          <w:szCs w:val="24"/>
        </w:rPr>
      </w:pPr>
      <w:r w:rsidRPr="00895EBA">
        <w:rPr>
          <w:rFonts w:ascii="Times New Roman" w:hAnsi="Times New Roman" w:cs="Times New Roman"/>
          <w:sz w:val="24"/>
          <w:szCs w:val="24"/>
        </w:rPr>
        <w:t>Senator Cindy F. Friedman, Vice Chair</w:t>
      </w:r>
    </w:p>
    <w:p w:rsidR="00FA7C12" w:rsidRDefault="00FA7C12" w:rsidP="00895EBA">
      <w:pPr>
        <w:spacing w:after="0" w:line="480" w:lineRule="auto"/>
        <w:jc w:val="both"/>
        <w:rPr>
          <w:rFonts w:ascii="Times New Roman" w:hAnsi="Times New Roman" w:cs="Times New Roman"/>
          <w:sz w:val="24"/>
          <w:szCs w:val="24"/>
        </w:rPr>
      </w:pPr>
      <w:r w:rsidRPr="00895EBA">
        <w:rPr>
          <w:rFonts w:ascii="Times New Roman" w:hAnsi="Times New Roman" w:cs="Times New Roman"/>
          <w:sz w:val="24"/>
          <w:szCs w:val="24"/>
        </w:rPr>
        <w:t>Senate committee on ways and means</w:t>
      </w:r>
    </w:p>
    <w:p w:rsidR="00895EBA" w:rsidRPr="00895EBA" w:rsidRDefault="00895EBA" w:rsidP="00895EBA">
      <w:pPr>
        <w:spacing w:after="0" w:line="480" w:lineRule="auto"/>
        <w:jc w:val="both"/>
        <w:rPr>
          <w:rFonts w:ascii="Times New Roman" w:hAnsi="Times New Roman" w:cs="Times New Roman"/>
          <w:sz w:val="24"/>
          <w:szCs w:val="24"/>
        </w:rPr>
      </w:pPr>
    </w:p>
    <w:p w:rsidR="00024A70" w:rsidRDefault="00C54495" w:rsidP="00895EBA">
      <w:pPr>
        <w:spacing w:after="0" w:line="480" w:lineRule="auto"/>
        <w:jc w:val="both"/>
        <w:rPr>
          <w:rFonts w:ascii="Times New Roman" w:hAnsi="Times New Roman" w:cs="Times New Roman"/>
          <w:sz w:val="24"/>
          <w:szCs w:val="24"/>
        </w:rPr>
      </w:pPr>
      <w:r w:rsidRPr="00895EBA">
        <w:rPr>
          <w:rFonts w:ascii="Times New Roman" w:hAnsi="Times New Roman" w:cs="Times New Roman"/>
          <w:sz w:val="24"/>
          <w:szCs w:val="24"/>
        </w:rPr>
        <w:t>General Court for legislation</w:t>
      </w:r>
    </w:p>
    <w:p w:rsidR="00C54495" w:rsidRPr="00895EBA" w:rsidRDefault="00C54495" w:rsidP="00895EBA">
      <w:pPr>
        <w:spacing w:after="0" w:line="480" w:lineRule="auto"/>
        <w:jc w:val="both"/>
        <w:rPr>
          <w:rFonts w:ascii="Times New Roman" w:hAnsi="Times New Roman" w:cs="Times New Roman"/>
          <w:sz w:val="24"/>
          <w:szCs w:val="24"/>
        </w:rPr>
      </w:pPr>
      <w:r w:rsidRPr="00895EBA">
        <w:rPr>
          <w:rFonts w:ascii="Times New Roman" w:hAnsi="Times New Roman" w:cs="Times New Roman"/>
          <w:sz w:val="24"/>
          <w:szCs w:val="24"/>
        </w:rPr>
        <w:t xml:space="preserve"> </w:t>
      </w:r>
    </w:p>
    <w:p w:rsidR="00C54495" w:rsidRDefault="00D722D4" w:rsidP="00024A70">
      <w:pPr>
        <w:spacing w:after="0" w:line="480" w:lineRule="auto"/>
        <w:jc w:val="both"/>
        <w:rPr>
          <w:rFonts w:ascii="Times New Roman" w:hAnsi="Times New Roman" w:cs="Times New Roman"/>
          <w:sz w:val="24"/>
          <w:szCs w:val="24"/>
        </w:rPr>
      </w:pPr>
      <w:r w:rsidRPr="00895EBA">
        <w:rPr>
          <w:rFonts w:ascii="Times New Roman" w:hAnsi="Times New Roman" w:cs="Times New Roman"/>
          <w:sz w:val="24"/>
          <w:szCs w:val="24"/>
        </w:rPr>
        <w:t>Tuesday, December 8, 2020</w:t>
      </w:r>
    </w:p>
    <w:p w:rsidR="00024A70" w:rsidRPr="00895EBA" w:rsidRDefault="00024A70" w:rsidP="00895EBA">
      <w:pPr>
        <w:spacing w:after="0" w:line="480" w:lineRule="auto"/>
        <w:jc w:val="both"/>
        <w:rPr>
          <w:rFonts w:ascii="Times New Roman" w:hAnsi="Times New Roman" w:cs="Times New Roman"/>
          <w:sz w:val="24"/>
          <w:szCs w:val="24"/>
        </w:rPr>
      </w:pPr>
    </w:p>
    <w:p w:rsidR="00D722D4" w:rsidRPr="007153DD" w:rsidRDefault="007153DD" w:rsidP="00895EBA">
      <w:pPr>
        <w:spacing w:after="0" w:line="480" w:lineRule="auto"/>
        <w:jc w:val="both"/>
        <w:rPr>
          <w:rFonts w:ascii="Times New Roman" w:hAnsi="Times New Roman" w:cs="Times New Roman"/>
          <w:b/>
          <w:sz w:val="24"/>
          <w:szCs w:val="24"/>
        </w:rPr>
      </w:pPr>
      <w:r w:rsidRPr="007153DD">
        <w:rPr>
          <w:rFonts w:ascii="Times New Roman" w:hAnsi="Times New Roman" w:cs="Times New Roman"/>
          <w:b/>
          <w:sz w:val="24"/>
          <w:szCs w:val="24"/>
        </w:rPr>
        <w:t xml:space="preserve">RE: </w:t>
      </w:r>
      <w:r w:rsidR="00D722D4" w:rsidRPr="007153DD">
        <w:rPr>
          <w:rFonts w:ascii="Times New Roman" w:hAnsi="Times New Roman" w:cs="Times New Roman"/>
          <w:b/>
          <w:sz w:val="24"/>
          <w:szCs w:val="24"/>
        </w:rPr>
        <w:t>Support for S.2752, Relating to</w:t>
      </w:r>
      <w:r w:rsidR="007F5AD5" w:rsidRPr="007153DD">
        <w:rPr>
          <w:rFonts w:ascii="Times New Roman" w:hAnsi="Times New Roman" w:cs="Times New Roman"/>
          <w:b/>
          <w:sz w:val="24"/>
          <w:szCs w:val="24"/>
        </w:rPr>
        <w:t xml:space="preserve"> P</w:t>
      </w:r>
      <w:r w:rsidR="00D722D4" w:rsidRPr="007153DD">
        <w:rPr>
          <w:rFonts w:ascii="Times New Roman" w:hAnsi="Times New Roman" w:cs="Times New Roman"/>
          <w:b/>
          <w:sz w:val="24"/>
          <w:szCs w:val="24"/>
        </w:rPr>
        <w:t>revention o</w:t>
      </w:r>
      <w:r w:rsidR="007F5AD5" w:rsidRPr="007153DD">
        <w:rPr>
          <w:rFonts w:ascii="Times New Roman" w:hAnsi="Times New Roman" w:cs="Times New Roman"/>
          <w:b/>
          <w:sz w:val="24"/>
          <w:szCs w:val="24"/>
        </w:rPr>
        <w:t xml:space="preserve">f </w:t>
      </w:r>
      <w:bookmarkStart w:id="0" w:name="_GoBack"/>
      <w:r w:rsidR="007F5AD5" w:rsidRPr="007153DD">
        <w:rPr>
          <w:rFonts w:ascii="Times New Roman" w:hAnsi="Times New Roman" w:cs="Times New Roman"/>
          <w:b/>
          <w:sz w:val="24"/>
          <w:szCs w:val="24"/>
        </w:rPr>
        <w:t>W</w:t>
      </w:r>
      <w:r w:rsidR="00D722D4" w:rsidRPr="007153DD">
        <w:rPr>
          <w:rFonts w:ascii="Times New Roman" w:hAnsi="Times New Roman" w:cs="Times New Roman"/>
          <w:b/>
          <w:sz w:val="24"/>
          <w:szCs w:val="24"/>
        </w:rPr>
        <w:t>o</w:t>
      </w:r>
      <w:r w:rsidR="007F5AD5" w:rsidRPr="007153DD">
        <w:rPr>
          <w:rFonts w:ascii="Times New Roman" w:hAnsi="Times New Roman" w:cs="Times New Roman"/>
          <w:b/>
          <w:sz w:val="24"/>
          <w:szCs w:val="24"/>
        </w:rPr>
        <w:t>rkplace V</w:t>
      </w:r>
      <w:r w:rsidR="00D722D4" w:rsidRPr="007153DD">
        <w:rPr>
          <w:rFonts w:ascii="Times New Roman" w:hAnsi="Times New Roman" w:cs="Times New Roman"/>
          <w:b/>
          <w:sz w:val="24"/>
          <w:szCs w:val="24"/>
        </w:rPr>
        <w:t>iolence</w:t>
      </w:r>
      <w:bookmarkEnd w:id="0"/>
    </w:p>
    <w:p w:rsidR="00024A70" w:rsidRPr="00895EBA" w:rsidRDefault="00024A70" w:rsidP="00895EBA">
      <w:pPr>
        <w:spacing w:after="0" w:line="480" w:lineRule="auto"/>
        <w:jc w:val="both"/>
        <w:rPr>
          <w:rFonts w:ascii="Times New Roman" w:hAnsi="Times New Roman" w:cs="Times New Roman"/>
          <w:sz w:val="24"/>
          <w:szCs w:val="24"/>
        </w:rPr>
      </w:pPr>
    </w:p>
    <w:p w:rsidR="00895EBA" w:rsidRPr="00895EBA" w:rsidRDefault="00895EBA" w:rsidP="00024A70">
      <w:pPr>
        <w:spacing w:after="0" w:line="480" w:lineRule="auto"/>
        <w:ind w:firstLine="720"/>
        <w:jc w:val="both"/>
        <w:rPr>
          <w:rFonts w:ascii="Times New Roman" w:hAnsi="Times New Roman" w:cs="Times New Roman"/>
          <w:sz w:val="24"/>
          <w:szCs w:val="24"/>
        </w:rPr>
      </w:pPr>
      <w:r w:rsidRPr="00895EBA">
        <w:rPr>
          <w:rFonts w:ascii="Times New Roman" w:hAnsi="Times New Roman" w:cs="Times New Roman"/>
          <w:sz w:val="24"/>
          <w:szCs w:val="24"/>
        </w:rPr>
        <w:t>The General Court of legislation comprises members drawn from the private and non-profit organizations and individuals committed to improving healthcare services in the hospitals. The group firmly supports S.2752, Relating to Prevention of Workplace Violence, which would help ensure that little or no violence exists at the workplace. It will enable the employees to focus on their work more, thus delivering quality services to the patients.</w:t>
      </w:r>
    </w:p>
    <w:p w:rsidR="00895EBA" w:rsidRPr="00895EBA" w:rsidRDefault="00895EBA" w:rsidP="00024A70">
      <w:pPr>
        <w:spacing w:after="0" w:line="480" w:lineRule="auto"/>
        <w:ind w:firstLine="720"/>
        <w:jc w:val="both"/>
        <w:rPr>
          <w:rFonts w:ascii="Times New Roman" w:hAnsi="Times New Roman" w:cs="Times New Roman"/>
          <w:sz w:val="24"/>
          <w:szCs w:val="24"/>
        </w:rPr>
      </w:pPr>
      <w:r w:rsidRPr="00895EBA">
        <w:rPr>
          <w:rFonts w:ascii="Times New Roman" w:hAnsi="Times New Roman" w:cs="Times New Roman"/>
          <w:sz w:val="24"/>
          <w:szCs w:val="24"/>
        </w:rPr>
        <w:t>The topic of workplace violence in a hospital setup has in the recent past dominated the news following a significant incidence that hit the headlines. According to the Occupational Safety and Health Administration (OSHA), it is estimated that an average of nearly 100 thousand healthcare workers annually reports having been victims of violence at the workplace. The US Bureau of Labor Statistics puts the number of annual workplace violence, not just in healthcare facilities to be at about 400. Workplace violence has gained a lot of prevalence at our workplaces, which may not be healthy for the country's economic productivity and growth. In the healthcare sector, such violence may have an implication on the quality of treatment rendered to the patient.</w:t>
      </w:r>
    </w:p>
    <w:p w:rsidR="00895EBA" w:rsidRPr="00895EBA" w:rsidRDefault="00895EBA" w:rsidP="00895EBA">
      <w:pPr>
        <w:spacing w:after="0" w:line="480" w:lineRule="auto"/>
        <w:jc w:val="both"/>
        <w:rPr>
          <w:rFonts w:ascii="Times New Roman" w:hAnsi="Times New Roman" w:cs="Times New Roman"/>
          <w:sz w:val="24"/>
          <w:szCs w:val="24"/>
        </w:rPr>
      </w:pPr>
      <w:r w:rsidRPr="00895EBA">
        <w:rPr>
          <w:rFonts w:ascii="Times New Roman" w:hAnsi="Times New Roman" w:cs="Times New Roman"/>
          <w:sz w:val="24"/>
          <w:szCs w:val="24"/>
        </w:rPr>
        <w:lastRenderedPageBreak/>
        <w:t>Increased patient morbidities, absence of vital workplace violence programs and protective regulations, staff shortages, and exposure to violent individuals have resulted in increased workplace violence cases. In a healthcare facility, violence may occur anywhere, but they are frequently witnessed in emergency departments, geriatric/long-term care units, psychiatric units, and emergency departments. Besides that, many nurses also work outside the hospitals in high-risk public sector healthcare settings such as prisons and jails, drug and alcohol residential treatment facilities, or visiting nurses. The community outreach programs require healthcare workers to move from one point to another with little or no security. The degree to which these workplaces emphasize worker safety widely varies.</w:t>
      </w:r>
    </w:p>
    <w:p w:rsidR="00895EBA" w:rsidRPr="00895EBA" w:rsidRDefault="00895EBA" w:rsidP="00024A70">
      <w:pPr>
        <w:spacing w:after="0" w:line="480" w:lineRule="auto"/>
        <w:ind w:firstLine="720"/>
        <w:jc w:val="both"/>
        <w:rPr>
          <w:rFonts w:ascii="Times New Roman" w:hAnsi="Times New Roman" w:cs="Times New Roman"/>
          <w:sz w:val="24"/>
          <w:szCs w:val="24"/>
        </w:rPr>
      </w:pPr>
      <w:r w:rsidRPr="00895EBA">
        <w:rPr>
          <w:rFonts w:ascii="Times New Roman" w:hAnsi="Times New Roman" w:cs="Times New Roman"/>
          <w:sz w:val="24"/>
          <w:szCs w:val="24"/>
        </w:rPr>
        <w:t>Therefore, it should be recognized that healthcare workers are also human, and ways to defend oneself from violence are not covered in their course. The healthcare workers operate in risky places and render treatment services to individuals who they do not know will react to a treatment; violently or staying calm. Violence in the healthcare sector will always be there but not as prevalent as it is today. Workplace violence can be easily avoided, and that is only possible by developing and implementing programs that aim to prevent workplace violence. Therefore, the group hopes that through the able committee, S2752 will be deemed worthy of being made a law to safeguard healthcare workers' security. Thank you for the opportunity.</w:t>
      </w:r>
    </w:p>
    <w:sectPr w:rsidR="00895EBA" w:rsidRPr="00895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C12"/>
    <w:rsid w:val="00024A70"/>
    <w:rsid w:val="00132650"/>
    <w:rsid w:val="003D3EF1"/>
    <w:rsid w:val="00574F47"/>
    <w:rsid w:val="005770E8"/>
    <w:rsid w:val="00673A14"/>
    <w:rsid w:val="007153DD"/>
    <w:rsid w:val="007F5AD5"/>
    <w:rsid w:val="00807B1D"/>
    <w:rsid w:val="00895EBA"/>
    <w:rsid w:val="00B67F85"/>
    <w:rsid w:val="00C54495"/>
    <w:rsid w:val="00D722D4"/>
    <w:rsid w:val="00FA7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26CAE"/>
  <w15:chartTrackingRefBased/>
  <w15:docId w15:val="{50532A06-80A3-45F6-B565-75628A036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2020-12-06T16:36:00Z</dcterms:created>
  <dcterms:modified xsi:type="dcterms:W3CDTF">2020-12-06T16:36:00Z</dcterms:modified>
</cp:coreProperties>
</file>